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8CB6" w14:textId="77777777" w:rsidR="00136E57" w:rsidRPr="00136E57" w:rsidRDefault="00136E57" w:rsidP="00136E57">
      <w:pPr>
        <w:rPr>
          <w:rFonts w:ascii="Times New Roman" w:eastAsia="Times New Roman" w:hAnsi="Times New Roman" w:cs="Times New Roman"/>
          <w:lang w:eastAsia="en-GB"/>
        </w:rPr>
      </w:pPr>
      <w:r w:rsidRPr="00136E57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eastAsia="en-GB"/>
        </w:rPr>
        <w:t>Presentation by Dr. Joanne Kemp</w:t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Dr Joanne Kemp is a Sports Physiotherapist and Senior Research Fellow at Latrobe Sport and Exercise Medicine Research Centre, Australia.</w:t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Her research is focused on hip pain including FAI and early onset hip OA in young and middle-aged adults, and its impact on activity, function and quality of life.</w:t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She has a particular interest in non-surgical interventions that can slow the progression and reduce the symptoms associated with hip pain and hip OA.</w:t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This webinar will address the increasingly commonly diagnosed condition of hip pain, and specifically FAI syndrome, in young and middle-aged adults. It will provide an overview of the aetiology and presentation of FAI syndrome and guide the clinician through an evidence-based framework for assessment. It will then discuss surgical and non-surgical treatment options for FAI syndrome. </w:t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b/>
          <w:bCs/>
          <w:color w:val="555C5B"/>
          <w:spacing w:val="5"/>
          <w:sz w:val="20"/>
          <w:szCs w:val="20"/>
          <w:shd w:val="clear" w:color="auto" w:fill="FFFFFF"/>
          <w:lang w:eastAsia="en-GB"/>
        </w:rPr>
        <w:t>Duration</w:t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lang w:eastAsia="en-GB"/>
        </w:rPr>
        <w:br/>
      </w:r>
      <w:r w:rsidRPr="00136E57">
        <w:rPr>
          <w:rFonts w:ascii="Arial" w:eastAsia="Times New Roman" w:hAnsi="Arial" w:cs="Arial"/>
          <w:color w:val="555C5B"/>
          <w:spacing w:val="5"/>
          <w:sz w:val="20"/>
          <w:szCs w:val="20"/>
          <w:shd w:val="clear" w:color="auto" w:fill="FFFFFF"/>
          <w:lang w:eastAsia="en-GB"/>
        </w:rPr>
        <w:t>120 minutes</w:t>
      </w:r>
    </w:p>
    <w:p w14:paraId="3E889B7C" w14:textId="77777777" w:rsidR="00136E57" w:rsidRDefault="00136E57"/>
    <w:sectPr w:rsidR="0013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57"/>
    <w:rsid w:val="001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DAB0E9"/>
  <w15:chartTrackingRefBased/>
  <w15:docId w15:val="{112636C5-2F2A-8247-A8E9-BDCE09AE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2021-01-11T10:36:00Z</dcterms:created>
  <dcterms:modified xsi:type="dcterms:W3CDTF">2021-01-11T10:37:00Z</dcterms:modified>
</cp:coreProperties>
</file>